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2125" w14:textId="751C7E76" w:rsidR="001B7262" w:rsidRPr="00752D3C" w:rsidRDefault="00702F4D" w:rsidP="005B6E92">
      <w:pPr>
        <w:jc w:val="center"/>
        <w:rPr>
          <w:rFonts w:ascii="Garamond" w:hAnsi="Garamond"/>
          <w:b/>
          <w:sz w:val="28"/>
          <w:szCs w:val="28"/>
        </w:rPr>
      </w:pPr>
      <w:r w:rsidRPr="00752D3C">
        <w:rPr>
          <w:rFonts w:ascii="Garamond" w:hAnsi="Garamond"/>
          <w:b/>
          <w:sz w:val="28"/>
          <w:szCs w:val="28"/>
        </w:rPr>
        <w:t xml:space="preserve">Unit I: </w:t>
      </w:r>
      <w:r w:rsidR="004B3AED" w:rsidRPr="00752D3C">
        <w:rPr>
          <w:rFonts w:ascii="Garamond" w:hAnsi="Garamond"/>
          <w:b/>
          <w:sz w:val="28"/>
          <w:szCs w:val="28"/>
        </w:rPr>
        <w:t>Scientific Foundations of Psychology</w:t>
      </w:r>
      <w:r w:rsidR="002E3074">
        <w:rPr>
          <w:rFonts w:ascii="Garamond" w:hAnsi="Garamond"/>
          <w:b/>
          <w:sz w:val="28"/>
          <w:szCs w:val="28"/>
        </w:rPr>
        <w:t xml:space="preserve"> (10-14%)</w:t>
      </w:r>
      <w:bookmarkStart w:id="0" w:name="_GoBack"/>
      <w:bookmarkEnd w:id="0"/>
    </w:p>
    <w:p w14:paraId="4DAC2126" w14:textId="30DA0544" w:rsidR="00BB068F" w:rsidRPr="00752D3C" w:rsidRDefault="002451DA" w:rsidP="005B6E92">
      <w:pPr>
        <w:jc w:val="center"/>
        <w:rPr>
          <w:rFonts w:ascii="Garamond" w:hAnsi="Garamond"/>
          <w:sz w:val="28"/>
          <w:szCs w:val="28"/>
        </w:rPr>
      </w:pPr>
      <w:r w:rsidRPr="00752D3C">
        <w:rPr>
          <w:rFonts w:ascii="Garamond" w:hAnsi="Garamond"/>
          <w:sz w:val="28"/>
          <w:szCs w:val="28"/>
        </w:rPr>
        <w:t>Re</w:t>
      </w:r>
      <w:r w:rsidR="009164A9" w:rsidRPr="00752D3C">
        <w:rPr>
          <w:rFonts w:ascii="Garamond" w:hAnsi="Garamond"/>
          <w:sz w:val="28"/>
          <w:szCs w:val="28"/>
        </w:rPr>
        <w:t>ading Schedule: pg 1-22, pg. 39-55, pg 55-68</w:t>
      </w:r>
      <w:r w:rsidR="001017CB" w:rsidRPr="00752D3C">
        <w:rPr>
          <w:rFonts w:ascii="Garamond" w:hAnsi="Garamond"/>
          <w:sz w:val="28"/>
          <w:szCs w:val="28"/>
        </w:rPr>
        <w:t xml:space="preserve">; Barron’s Chapter 1 </w:t>
      </w:r>
      <w:r w:rsidR="00FD0154">
        <w:rPr>
          <w:rFonts w:ascii="Garamond" w:hAnsi="Garamond"/>
          <w:sz w:val="28"/>
          <w:szCs w:val="28"/>
        </w:rPr>
        <w:t xml:space="preserve">and 2 </w:t>
      </w:r>
      <w:r w:rsidR="001017CB" w:rsidRPr="00752D3C">
        <w:rPr>
          <w:rFonts w:ascii="Garamond" w:hAnsi="Garamond"/>
          <w:sz w:val="28"/>
          <w:szCs w:val="28"/>
        </w:rPr>
        <w:t>due 9/1</w:t>
      </w:r>
      <w:r w:rsidR="004B3AED" w:rsidRPr="00752D3C">
        <w:rPr>
          <w:rFonts w:ascii="Garamond" w:hAnsi="Garamond"/>
          <w:sz w:val="28"/>
          <w:szCs w:val="28"/>
        </w:rPr>
        <w:t>3</w:t>
      </w:r>
    </w:p>
    <w:p w14:paraId="4DAC2127" w14:textId="1D572E32" w:rsidR="002451DA" w:rsidRPr="00752D3C" w:rsidRDefault="007E3393" w:rsidP="005B6E92">
      <w:pPr>
        <w:jc w:val="center"/>
        <w:rPr>
          <w:rFonts w:ascii="Garamond" w:hAnsi="Garamond"/>
          <w:sz w:val="28"/>
          <w:szCs w:val="28"/>
        </w:rPr>
      </w:pPr>
      <w:r w:rsidRPr="00752D3C">
        <w:rPr>
          <w:rFonts w:ascii="Garamond" w:hAnsi="Garamond"/>
          <w:sz w:val="28"/>
          <w:szCs w:val="28"/>
        </w:rPr>
        <w:t>Key Terms and Exam</w:t>
      </w:r>
      <w:r w:rsidR="009164A9" w:rsidRPr="00752D3C">
        <w:rPr>
          <w:rFonts w:ascii="Garamond" w:hAnsi="Garamond"/>
          <w:sz w:val="28"/>
          <w:szCs w:val="28"/>
        </w:rPr>
        <w:t>: 9/2</w:t>
      </w:r>
      <w:r w:rsidR="005B6A0C">
        <w:rPr>
          <w:rFonts w:ascii="Garamond" w:hAnsi="Garamond"/>
          <w:sz w:val="28"/>
          <w:szCs w:val="28"/>
        </w:rPr>
        <w:t>3</w:t>
      </w:r>
    </w:p>
    <w:p w14:paraId="4DAC2128" w14:textId="77777777" w:rsidR="001B7262" w:rsidRPr="00752D3C" w:rsidRDefault="00BB068F" w:rsidP="005B6E92">
      <w:pPr>
        <w:rPr>
          <w:rFonts w:ascii="Garamond" w:hAnsi="Garamond"/>
          <w:sz w:val="28"/>
          <w:szCs w:val="28"/>
        </w:rPr>
      </w:pPr>
      <w:r w:rsidRPr="00752D3C">
        <w:rPr>
          <w:rFonts w:ascii="Garamond" w:hAnsi="Garamond"/>
          <w:b/>
          <w:sz w:val="28"/>
          <w:szCs w:val="28"/>
        </w:rPr>
        <w:tab/>
        <w:t>Learning Objectives</w:t>
      </w:r>
      <w:r w:rsidRPr="00752D3C">
        <w:rPr>
          <w:rFonts w:ascii="Garamond" w:hAnsi="Garamond"/>
          <w:sz w:val="28"/>
          <w:szCs w:val="28"/>
        </w:rPr>
        <w:tab/>
      </w:r>
      <w:r w:rsidRPr="00752D3C">
        <w:rPr>
          <w:rFonts w:ascii="Garamond" w:hAnsi="Garamond"/>
          <w:sz w:val="28"/>
          <w:szCs w:val="28"/>
        </w:rPr>
        <w:tab/>
      </w:r>
      <w:r w:rsidRPr="00752D3C">
        <w:rPr>
          <w:rFonts w:ascii="Garamond" w:hAnsi="Garamond"/>
          <w:sz w:val="28"/>
          <w:szCs w:val="28"/>
        </w:rPr>
        <w:tab/>
      </w:r>
      <w:r w:rsidRPr="00752D3C">
        <w:rPr>
          <w:rFonts w:ascii="Garamond" w:hAnsi="Garamond"/>
          <w:sz w:val="28"/>
          <w:szCs w:val="28"/>
        </w:rPr>
        <w:tab/>
      </w:r>
      <w:r w:rsidRPr="00752D3C">
        <w:rPr>
          <w:rFonts w:ascii="Garamond" w:hAnsi="Garamond"/>
          <w:b/>
          <w:sz w:val="28"/>
          <w:szCs w:val="28"/>
        </w:rPr>
        <w:t xml:space="preserve">        Notecard Terms</w:t>
      </w:r>
      <w:r w:rsidRPr="00752D3C">
        <w:rPr>
          <w:rFonts w:ascii="Garamond" w:hAnsi="Garamond"/>
          <w:sz w:val="28"/>
          <w:szCs w:val="28"/>
        </w:rPr>
        <w:t xml:space="preserve">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1B7262" w:rsidRPr="005B6E92" w14:paraId="4DAC218A" w14:textId="77777777" w:rsidTr="002451DA">
        <w:trPr>
          <w:trHeight w:val="11150"/>
        </w:trPr>
        <w:tc>
          <w:tcPr>
            <w:tcW w:w="4918" w:type="dxa"/>
          </w:tcPr>
          <w:p w14:paraId="4DAC2129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Recognize how philosophical perspectives shaped the development of</w:t>
            </w:r>
          </w:p>
          <w:p w14:paraId="4DAC212A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psychological thought.</w:t>
            </w:r>
          </w:p>
          <w:p w14:paraId="4DAC212B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Identify the major historical figures in psychology (e.g., Mary Whiton Calkins,</w:t>
            </w:r>
          </w:p>
          <w:p w14:paraId="4DAC212C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Charles Darwin, Dorothea Dix, Sigmund Freud, G. Stanley Hall, William James,</w:t>
            </w:r>
          </w:p>
          <w:p w14:paraId="4DAC212D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Ivan Pavlov, Jean Piaget, Carl Rogers, B. F. Skinner, Margaret Floy Washburn,</w:t>
            </w:r>
          </w:p>
          <w:p w14:paraId="4DAC212E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John B. Watson, Wilhelm Wundt).</w:t>
            </w:r>
          </w:p>
          <w:p w14:paraId="4DAC212F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•Describe and compare different theoretical approaches in explaining behavior:</w:t>
            </w:r>
          </w:p>
          <w:p w14:paraId="4DAC2130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— structuralism, functionalism, and behaviorism in the early years;</w:t>
            </w:r>
          </w:p>
          <w:p w14:paraId="4DAC2131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— Gestalt, psychoanalytic/psychodynamic, and humanism emerging later;</w:t>
            </w:r>
          </w:p>
          <w:p w14:paraId="4DAC2132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— evolutionary, biological, and cognitive as more contemporary approaches.</w:t>
            </w:r>
          </w:p>
          <w:p w14:paraId="4DAC2133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Recognize the strengths and limitations of applying theories to explain behavior.</w:t>
            </w:r>
          </w:p>
          <w:p w14:paraId="4DAC2134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Distinguish the different domains of psychology:</w:t>
            </w:r>
          </w:p>
          <w:p w14:paraId="4DAC2135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— biological, clinical, cognitive, counseling, developmental, educational,</w:t>
            </w:r>
          </w:p>
          <w:p w14:paraId="4DAC2136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experimental, human factors, industrial–organizational, personality,</w:t>
            </w:r>
          </w:p>
          <w:p w14:paraId="4DAC2137" w14:textId="77777777" w:rsidR="001B7262" w:rsidRPr="00752D3C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psychometric, and social.</w:t>
            </w:r>
          </w:p>
          <w:p w14:paraId="4DAC2138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Differentiate types of research (e.g., experiments, correlational studies, survey</w:t>
            </w:r>
          </w:p>
          <w:p w14:paraId="4DAC2139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research, naturalistic observations, and case studies) with regard to purpose,</w:t>
            </w:r>
          </w:p>
          <w:p w14:paraId="4DAC213A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strengths, and weaknesses.</w:t>
            </w:r>
          </w:p>
          <w:p w14:paraId="4DAC213B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Describe how research design drives the reasonable conclusions that can be</w:t>
            </w:r>
          </w:p>
          <w:p w14:paraId="4DAC213C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drawn (e.g., experiments are useful for </w:t>
            </w:r>
            <w:r w:rsidRPr="00752D3C">
              <w:rPr>
                <w:rFonts w:ascii="Garamond" w:hAnsi="Garamond"/>
                <w:sz w:val="28"/>
                <w:szCs w:val="28"/>
              </w:rPr>
              <w:lastRenderedPageBreak/>
              <w:t>determining cause and effect; the use of</w:t>
            </w:r>
          </w:p>
          <w:p w14:paraId="4DAC213D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experimental controls </w:t>
            </w:r>
            <w:proofErr w:type="gramStart"/>
            <w:r w:rsidRPr="00752D3C">
              <w:rPr>
                <w:rFonts w:ascii="Garamond" w:hAnsi="Garamond"/>
                <w:sz w:val="28"/>
                <w:szCs w:val="28"/>
              </w:rPr>
              <w:t>reduces</w:t>
            </w:r>
            <w:proofErr w:type="gramEnd"/>
            <w:r w:rsidRPr="00752D3C">
              <w:rPr>
                <w:rFonts w:ascii="Garamond" w:hAnsi="Garamond"/>
                <w:sz w:val="28"/>
                <w:szCs w:val="28"/>
              </w:rPr>
              <w:t xml:space="preserve"> alternative explanations).</w:t>
            </w:r>
          </w:p>
          <w:p w14:paraId="4DAC213E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Identify independent, dependent, confounding, and control variables in</w:t>
            </w:r>
          </w:p>
          <w:p w14:paraId="4DAC213F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experimental designs.</w:t>
            </w:r>
          </w:p>
          <w:p w14:paraId="4DAC2140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Distinguish between random assignment of participants to conditions in</w:t>
            </w:r>
          </w:p>
          <w:p w14:paraId="4DAC2141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experiments and random selection of participants, primarily in correlational</w:t>
            </w:r>
          </w:p>
          <w:p w14:paraId="4DAC2142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studies and surveys.</w:t>
            </w:r>
          </w:p>
          <w:p w14:paraId="4DAC2143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Predict the validity of behavioral explanations based on the quality of research design (e.g., confounding variables limit confidence in research conclusions).</w:t>
            </w:r>
          </w:p>
          <w:p w14:paraId="4DAC2144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Discuss the value of reliance on operational definitions and measurement in behavioral research.</w:t>
            </w:r>
          </w:p>
          <w:p w14:paraId="4DAC2145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Distinguish the purposes of descriptive statistics and inferential statistics.</w:t>
            </w:r>
          </w:p>
          <w:p w14:paraId="4DAC2146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Apply basic descriptive statistical concepts, including interpreting and</w:t>
            </w:r>
          </w:p>
          <w:p w14:paraId="4DAC2147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constructing graphs and calculating simple descriptive statistics</w:t>
            </w:r>
          </w:p>
          <w:p w14:paraId="4DAC2148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(e.g., measures of central tendency, standard deviation).</w:t>
            </w:r>
          </w:p>
          <w:p w14:paraId="4DAC2149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Identify how ethical issues inform and constrain research practices.</w:t>
            </w:r>
          </w:p>
          <w:p w14:paraId="4DAC214A" w14:textId="77777777" w:rsidR="005B6E92" w:rsidRPr="00752D3C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• Describe how ethical and legal guidelines (e.g., those provided by the American</w:t>
            </w:r>
          </w:p>
          <w:p w14:paraId="4DAC214B" w14:textId="77777777" w:rsidR="001B7262" w:rsidRPr="00752D3C" w:rsidRDefault="005B6E92" w:rsidP="002451DA">
            <w:p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Psychological Association, federal regulations, local institutional review boards) protect research participants and promote sound ethical practice.</w:t>
            </w:r>
          </w:p>
        </w:tc>
        <w:tc>
          <w:tcPr>
            <w:tcW w:w="4918" w:type="dxa"/>
          </w:tcPr>
          <w:p w14:paraId="4DAC214C" w14:textId="77777777" w:rsidR="00FF61AD" w:rsidRPr="00752D3C" w:rsidRDefault="00FF61AD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lastRenderedPageBreak/>
              <w:t>Introspection</w:t>
            </w:r>
          </w:p>
          <w:p w14:paraId="4DAC214D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structuralism  </w:t>
            </w:r>
          </w:p>
          <w:p w14:paraId="4DAC214E" w14:textId="77777777" w:rsidR="005B6E9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functionalism</w:t>
            </w:r>
          </w:p>
          <w:p w14:paraId="4DAC2150" w14:textId="0E911086" w:rsidR="001B7262" w:rsidRPr="00752D3C" w:rsidRDefault="005B6E92" w:rsidP="002C41BD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Gestalt</w:t>
            </w:r>
            <w:r w:rsidR="001B7262" w:rsidRPr="00752D3C">
              <w:rPr>
                <w:rFonts w:ascii="Garamond" w:hAnsi="Garamond"/>
                <w:sz w:val="28"/>
                <w:szCs w:val="28"/>
              </w:rPr>
              <w:t xml:space="preserve">  </w:t>
            </w:r>
          </w:p>
          <w:p w14:paraId="4DAC2151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Charles Darwin</w:t>
            </w:r>
          </w:p>
          <w:p w14:paraId="4DAC2152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Dorothea Dix</w:t>
            </w:r>
          </w:p>
          <w:p w14:paraId="4DAC2153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Wilhelm Wundt </w:t>
            </w:r>
          </w:p>
          <w:p w14:paraId="4DAC2154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William James </w:t>
            </w:r>
          </w:p>
          <w:p w14:paraId="4DAC2155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Sigmund Freud  </w:t>
            </w:r>
          </w:p>
          <w:p w14:paraId="4DAC2156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John B. Watson </w:t>
            </w:r>
          </w:p>
          <w:p w14:paraId="4DAC2157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G. Stanley Hall </w:t>
            </w:r>
          </w:p>
          <w:p w14:paraId="4DAC2158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Mary Whiton Calkins </w:t>
            </w:r>
          </w:p>
          <w:p w14:paraId="4DAC2159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Margaret Floy Washburn </w:t>
            </w:r>
          </w:p>
          <w:p w14:paraId="4DAC215A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humanistic perspective</w:t>
            </w:r>
          </w:p>
          <w:p w14:paraId="4DAC215B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psychoanalytic perspective</w:t>
            </w:r>
          </w:p>
          <w:p w14:paraId="4DAC215C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cognitive perspective </w:t>
            </w:r>
          </w:p>
          <w:p w14:paraId="4DAC215D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biological perspective </w:t>
            </w:r>
          </w:p>
          <w:p w14:paraId="4DAC215E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social-cultural perspective </w:t>
            </w:r>
          </w:p>
          <w:p w14:paraId="4DAC215F" w14:textId="77777777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behavioral perspective </w:t>
            </w:r>
          </w:p>
          <w:p w14:paraId="4DAC2160" w14:textId="0D0589BF" w:rsidR="001B7262" w:rsidRPr="00752D3C" w:rsidRDefault="001B7262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 xml:space="preserve">evolutionary perspective </w:t>
            </w:r>
          </w:p>
          <w:p w14:paraId="28821DA2" w14:textId="6242117B" w:rsidR="00A519CD" w:rsidRPr="00752D3C" w:rsidRDefault="00A519CD" w:rsidP="005B6E9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752D3C">
              <w:rPr>
                <w:rFonts w:ascii="Garamond" w:hAnsi="Garamond"/>
                <w:sz w:val="28"/>
                <w:szCs w:val="28"/>
              </w:rPr>
              <w:t>biopsychosocial perspective</w:t>
            </w:r>
          </w:p>
          <w:p w14:paraId="4DAC2161" w14:textId="77777777" w:rsidR="00FF61AD" w:rsidRPr="00752D3C" w:rsidRDefault="00FF61AD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Applied Research</w:t>
            </w:r>
          </w:p>
          <w:p w14:paraId="4DAC2162" w14:textId="77777777" w:rsidR="00FF61AD" w:rsidRPr="00752D3C" w:rsidRDefault="00FF61AD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Basic Research</w:t>
            </w:r>
          </w:p>
          <w:p w14:paraId="4DAC2163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Scientific method </w:t>
            </w:r>
          </w:p>
          <w:p w14:paraId="4DAC2164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Random assignment</w:t>
            </w:r>
          </w:p>
          <w:p w14:paraId="4DAC2165" w14:textId="5ABACDA1" w:rsidR="005B6E92" w:rsidRPr="00752D3C" w:rsidRDefault="002C41BD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random selection</w:t>
            </w:r>
            <w:r w:rsidR="00C13D70"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 (random sample)</w:t>
            </w:r>
          </w:p>
          <w:p w14:paraId="4DAC2166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Confirmation bias </w:t>
            </w:r>
          </w:p>
          <w:p w14:paraId="4DAC2167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Hindsight Bias</w:t>
            </w:r>
          </w:p>
          <w:p w14:paraId="4DAC2168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Naturalistic observation </w:t>
            </w:r>
          </w:p>
          <w:p w14:paraId="4DAC2169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Case study </w:t>
            </w:r>
          </w:p>
          <w:p w14:paraId="4DAC216A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Survey </w:t>
            </w:r>
          </w:p>
          <w:p w14:paraId="4DAC216B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Longitudinal study </w:t>
            </w:r>
          </w:p>
          <w:p w14:paraId="4DAC216C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Cross-sectional study </w:t>
            </w:r>
          </w:p>
          <w:p w14:paraId="4DAC216D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Experiment </w:t>
            </w:r>
          </w:p>
          <w:p w14:paraId="4DAC216E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Hypothesis</w:t>
            </w:r>
          </w:p>
          <w:p w14:paraId="4DAC216F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Operational definition </w:t>
            </w:r>
          </w:p>
          <w:p w14:paraId="4DAC2170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Independent variable (IV) </w:t>
            </w:r>
          </w:p>
          <w:p w14:paraId="4DAC2171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lastRenderedPageBreak/>
              <w:t xml:space="preserve">Dependent variable (DV) </w:t>
            </w:r>
          </w:p>
          <w:p w14:paraId="4DAC2172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Experimental group </w:t>
            </w:r>
          </w:p>
          <w:p w14:paraId="4DAC2173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Control group </w:t>
            </w:r>
          </w:p>
          <w:p w14:paraId="4DAC2174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Confounding variable </w:t>
            </w:r>
          </w:p>
          <w:p w14:paraId="4DAC2175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Single-Blind Procedure</w:t>
            </w:r>
          </w:p>
          <w:p w14:paraId="4DAC2176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Double-blind procedure </w:t>
            </w:r>
          </w:p>
          <w:p w14:paraId="4DAC2177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Placebo </w:t>
            </w:r>
          </w:p>
          <w:p w14:paraId="4DAC2178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Frequency distribution </w:t>
            </w:r>
          </w:p>
          <w:p w14:paraId="4DAC2179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Skewed </w:t>
            </w:r>
          </w:p>
          <w:p w14:paraId="4DAC217A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Range </w:t>
            </w:r>
          </w:p>
          <w:p w14:paraId="4DAC217B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Standard deviation </w:t>
            </w:r>
          </w:p>
          <w:p w14:paraId="4DAC217C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Correlation coefficient </w:t>
            </w:r>
          </w:p>
          <w:p w14:paraId="4DAC217D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Descriptive Statistics</w:t>
            </w:r>
          </w:p>
          <w:p w14:paraId="4DAC217E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 xml:space="preserve">Inferential statistics </w:t>
            </w:r>
          </w:p>
          <w:p w14:paraId="4DAC217F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Statistical significance</w:t>
            </w:r>
          </w:p>
          <w:p w14:paraId="4DAC2180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Z Score</w:t>
            </w:r>
          </w:p>
          <w:p w14:paraId="4DAC2181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P Value</w:t>
            </w:r>
          </w:p>
          <w:p w14:paraId="4DAC2182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Reliability</w:t>
            </w:r>
          </w:p>
          <w:p w14:paraId="4DAC2183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Validity</w:t>
            </w:r>
          </w:p>
          <w:p w14:paraId="4DAC2184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IRB</w:t>
            </w:r>
          </w:p>
          <w:p w14:paraId="4DAC2185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Informed Consent</w:t>
            </w:r>
          </w:p>
          <w:p w14:paraId="4DAC2186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Coercion</w:t>
            </w:r>
          </w:p>
          <w:p w14:paraId="4DAC2187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Anonymity</w:t>
            </w:r>
          </w:p>
          <w:p w14:paraId="4DAC2188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Confidentiality</w:t>
            </w:r>
          </w:p>
          <w:p w14:paraId="4DAC2189" w14:textId="77777777" w:rsidR="005B6E92" w:rsidRPr="00752D3C" w:rsidRDefault="005B6E92" w:rsidP="005B6E92">
            <w:pPr>
              <w:numPr>
                <w:ilvl w:val="0"/>
                <w:numId w:val="4"/>
              </w:numPr>
              <w:rPr>
                <w:sz w:val="28"/>
                <w:szCs w:val="28"/>
                <w:lang w:bidi="x-none"/>
              </w:rPr>
            </w:pPr>
            <w:r w:rsidRPr="00752D3C">
              <w:rPr>
                <w:rFonts w:ascii="Garamond" w:hAnsi="Garamond"/>
                <w:sz w:val="28"/>
                <w:szCs w:val="28"/>
                <w:lang w:bidi="x-none"/>
              </w:rPr>
              <w:t>Debriefing</w:t>
            </w:r>
          </w:p>
        </w:tc>
      </w:tr>
    </w:tbl>
    <w:p w14:paraId="4DAC218B" w14:textId="77777777" w:rsidR="001B7262" w:rsidRPr="005B6E92" w:rsidRDefault="001B7262" w:rsidP="005B6E92">
      <w:pPr>
        <w:rPr>
          <w:rFonts w:ascii="Garamond" w:hAnsi="Garamond"/>
          <w:sz w:val="28"/>
          <w:szCs w:val="28"/>
        </w:rPr>
      </w:pPr>
    </w:p>
    <w:sectPr w:rsidR="001B7262" w:rsidRPr="005B6E92" w:rsidSect="001B72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DBC"/>
    <w:multiLevelType w:val="hybridMultilevel"/>
    <w:tmpl w:val="149C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103"/>
    <w:multiLevelType w:val="hybridMultilevel"/>
    <w:tmpl w:val="8E0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47CE"/>
    <w:multiLevelType w:val="hybridMultilevel"/>
    <w:tmpl w:val="C8FE4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DA2"/>
    <w:multiLevelType w:val="hybridMultilevel"/>
    <w:tmpl w:val="B750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5E2"/>
    <w:multiLevelType w:val="hybridMultilevel"/>
    <w:tmpl w:val="3044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919"/>
    <w:multiLevelType w:val="hybridMultilevel"/>
    <w:tmpl w:val="D75A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262"/>
    <w:rsid w:val="000A06DF"/>
    <w:rsid w:val="001017CB"/>
    <w:rsid w:val="001B7262"/>
    <w:rsid w:val="002451DA"/>
    <w:rsid w:val="002C41BD"/>
    <w:rsid w:val="002E3074"/>
    <w:rsid w:val="004B3AED"/>
    <w:rsid w:val="005B6A0C"/>
    <w:rsid w:val="005B6E92"/>
    <w:rsid w:val="00652555"/>
    <w:rsid w:val="00702F4D"/>
    <w:rsid w:val="0073000E"/>
    <w:rsid w:val="00752D3C"/>
    <w:rsid w:val="007E3393"/>
    <w:rsid w:val="009164A9"/>
    <w:rsid w:val="00A43729"/>
    <w:rsid w:val="00A519CD"/>
    <w:rsid w:val="00BB068F"/>
    <w:rsid w:val="00C13D70"/>
    <w:rsid w:val="00CB06CA"/>
    <w:rsid w:val="00DF2AD3"/>
    <w:rsid w:val="00FD0154"/>
    <w:rsid w:val="00FF6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C2125"/>
  <w15:docId w15:val="{56057820-334F-48EB-A4CE-76D2AC9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62"/>
    <w:pPr>
      <w:ind w:left="720"/>
      <w:contextualSpacing/>
    </w:pPr>
  </w:style>
  <w:style w:type="table" w:styleId="TableGrid">
    <w:name w:val="Table Grid"/>
    <w:basedOn w:val="TableNormal"/>
    <w:uiPriority w:val="59"/>
    <w:rsid w:val="001B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9E35D-5F83-4C6B-ACA8-4B2131B8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Emily Paras</cp:lastModifiedBy>
  <cp:revision>14</cp:revision>
  <dcterms:created xsi:type="dcterms:W3CDTF">2015-09-09T02:07:00Z</dcterms:created>
  <dcterms:modified xsi:type="dcterms:W3CDTF">2019-08-29T20:02:00Z</dcterms:modified>
</cp:coreProperties>
</file>